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Chapter Two:  Planning for Social Studies Instruction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Read the chapter highlighting important information and journaling in the margin as needed. (Be sure to review the </w:t>
      </w:r>
      <w:r>
        <w:rPr>
          <w:i w:val="1"/>
          <w:iCs w:val="1"/>
          <w:sz w:val="28"/>
          <w:szCs w:val="28"/>
          <w:rtl w:val="0"/>
          <w:lang w:val="en-US"/>
        </w:rPr>
        <w:t xml:space="preserve">Suggested Readings and Websites </w:t>
      </w:r>
      <w:r>
        <w:rPr>
          <w:sz w:val="28"/>
          <w:szCs w:val="28"/>
          <w:rtl w:val="0"/>
          <w:lang w:val="en-US"/>
        </w:rPr>
        <w:t>section!)</w:t>
      </w:r>
    </w:p>
    <w:p>
      <w:pPr>
        <w:pStyle w:val="List Paragraph"/>
        <w:rPr>
          <w:sz w:val="28"/>
          <w:szCs w:val="28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What is backward design? Cite with page number from your text.                                               Visit:</w:t>
      </w:r>
      <w:r>
        <w:rPr>
          <w:sz w:val="28"/>
          <w:szCs w:val="28"/>
          <w:rtl w:val="0"/>
          <w:lang w:val="en-US"/>
        </w:rPr>
        <w:t xml:space="preserve"> </w:t>
      </w: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"https://www.franklincovey.com/content/dam/fcdc/downloads/7-habits-pdf/ss_7habits_sig.pdf"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https://www.franklincovey.com/content/dam/fcdc/downloads/7-habits-pdf/ss_7habits_sig.pdf</w:t>
      </w:r>
      <w:r>
        <w:rPr>
          <w:sz w:val="28"/>
          <w:szCs w:val="28"/>
        </w:rPr>
        <w:fldChar w:fldCharType="end" w:fldLock="0"/>
      </w:r>
      <w:r>
        <w:rPr>
          <w:sz w:val="28"/>
          <w:szCs w:val="28"/>
          <w:rtl w:val="0"/>
          <w:lang w:val="en-US"/>
        </w:rPr>
        <w:t xml:space="preserve"> </w:t>
      </w:r>
    </w:p>
    <w:p>
      <w:pPr>
        <w:pStyle w:val="List Paragraph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How does </w:t>
      </w:r>
      <w:r>
        <w:rPr>
          <w:sz w:val="28"/>
          <w:szCs w:val="28"/>
          <w:rtl w:val="0"/>
          <w:lang w:val="en-US"/>
        </w:rPr>
        <w:t xml:space="preserve">Habit 2, </w:t>
      </w:r>
      <w:r>
        <w:rPr>
          <w:sz w:val="28"/>
          <w:szCs w:val="28"/>
          <w:rtl w:val="0"/>
          <w:lang w:val="en-US"/>
        </w:rPr>
        <w:t>relate to backward design concerning lesson planning?</w:t>
      </w:r>
    </w:p>
    <w:p>
      <w:pPr>
        <w:pStyle w:val="List Paragraph"/>
        <w:rPr>
          <w:sz w:val="28"/>
          <w:szCs w:val="28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Visit: </w:t>
      </w: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"http://www.teachthought.com/pedagogy/25-things-successful-teachers-do-differently/"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http://www.teachthought.com/pedagogy/25-things-successful-teachers-do-differently/</w:t>
      </w:r>
      <w:r>
        <w:rPr>
          <w:sz w:val="28"/>
          <w:szCs w:val="28"/>
        </w:rPr>
        <w:fldChar w:fldCharType="end" w:fldLock="0"/>
      </w:r>
    </w:p>
    <w:p>
      <w:pPr>
        <w:pStyle w:val="List Paragraph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Review the sketch note regarding what successful teachers do differently. Bullet two below that you believe to be important and why.</w:t>
      </w:r>
    </w:p>
    <w:p>
      <w:pPr>
        <w:pStyle w:val="List Paragraph"/>
        <w:rPr>
          <w:sz w:val="28"/>
          <w:szCs w:val="28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>In your own words, briefly describe what it means to teach using an interdisciplinary approach?</w:t>
      </w:r>
    </w:p>
    <w:p>
      <w:pPr>
        <w:pStyle w:val="List Paragraph"/>
        <w:rPr>
          <w:sz w:val="28"/>
          <w:szCs w:val="28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Visit:  </w:t>
      </w: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"http://www.teachingworks.org/work-of-teaching/high-leverage-practices"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http://www.teachingworks.org/work-of-teaching/high-leverage-practices</w:t>
      </w:r>
      <w:r>
        <w:rPr>
          <w:sz w:val="28"/>
          <w:szCs w:val="28"/>
        </w:rPr>
        <w:fldChar w:fldCharType="end" w:fldLock="0"/>
      </w:r>
    </w:p>
    <w:p>
      <w:pPr>
        <w:pStyle w:val="List Paragraph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Review </w:t>
      </w:r>
      <w:r>
        <w:rPr>
          <w:b w:val="1"/>
          <w:bCs w:val="1"/>
          <w:sz w:val="28"/>
          <w:szCs w:val="28"/>
          <w:rtl w:val="0"/>
          <w:lang w:val="en-US"/>
        </w:rPr>
        <w:t>all</w:t>
      </w:r>
      <w:r>
        <w:rPr>
          <w:sz w:val="28"/>
          <w:szCs w:val="28"/>
          <w:rtl w:val="0"/>
          <w:lang w:val="en-US"/>
        </w:rPr>
        <w:t xml:space="preserve"> of the effective teaching practices. Choose </w:t>
      </w:r>
      <w:r>
        <w:rPr>
          <w:b w:val="1"/>
          <w:bCs w:val="1"/>
          <w:sz w:val="28"/>
          <w:szCs w:val="28"/>
          <w:rtl w:val="0"/>
          <w:lang w:val="en-US"/>
        </w:rPr>
        <w:t>THREE</w:t>
      </w:r>
      <w:r>
        <w:rPr>
          <w:sz w:val="28"/>
          <w:szCs w:val="28"/>
          <w:rtl w:val="0"/>
          <w:lang w:val="en-US"/>
        </w:rPr>
        <w:t xml:space="preserve"> to read more about and briefly bullet the practice and what you learned.</w:t>
      </w:r>
    </w:p>
    <w:p>
      <w:pPr>
        <w:pStyle w:val="List Paragraph"/>
        <w:rPr>
          <w:sz w:val="28"/>
          <w:szCs w:val="28"/>
        </w:rPr>
      </w:pP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8"/>
          <w:szCs w:val="28"/>
          <w:rtl w:val="0"/>
          <w:lang w:val="en-US"/>
        </w:rPr>
      </w:pPr>
      <w:r>
        <w:rPr>
          <w:sz w:val="28"/>
          <w:szCs w:val="28"/>
          <w:rtl w:val="0"/>
          <w:lang w:val="en-US"/>
        </w:rPr>
        <w:t xml:space="preserve">Go to:  </w:t>
      </w: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"http://www.udlcenter.org/aboutudl/udlguidelines/udlguidelines_graphicorganizer"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http://www.udlcenter.org/aboutudl/udlguidelines/udlguidelines_graphicorganizer</w:t>
      </w:r>
      <w:r>
        <w:rPr>
          <w:sz w:val="28"/>
          <w:szCs w:val="28"/>
        </w:rPr>
        <w:fldChar w:fldCharType="end" w:fldLock="0"/>
      </w:r>
    </w:p>
    <w:p>
      <w:pPr>
        <w:pStyle w:val="List Paragraph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Review and print the pdf version of the graphic organizer and bring this to class.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aramon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340"/>
        <w:tab w:val="clear" w:pos="9360"/>
      </w:tabs>
      <w:jc w:val="center"/>
    </w:pPr>
    <w:r>
      <w:rPr>
        <w:rtl w:val="0"/>
        <w:lang w:val="en-US"/>
      </w:rPr>
      <w:t xml:space="preserve">Go KNIGHTS! </w:t>
    </w:r>
    <w:r>
      <w:drawing>
        <wp:inline distT="0" distB="0" distL="0" distR="0">
          <wp:extent cx="466725" cy="466725"/>
          <wp:effectExtent l="0" t="0" r="0" b="0"/>
          <wp:docPr id="1073741826" name="officeArt object" descr="C:\Users\spalding\Desktop\ucf-logo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:\Users\spalding\Desktop\ucf-logo.gif" descr="C:\Users\spalding\Desktop\ucf-logo.gif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25" cy="4667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Title"/>
      <w:rPr>
        <w:sz w:val="36"/>
        <w:szCs w:val="36"/>
      </w:rPr>
    </w:pPr>
    <w:r>
      <w:rPr>
        <w:color w:val="000000"/>
        <w:u w:color="000000"/>
      </w:rPr>
      <w:drawing>
        <wp:inline distT="0" distB="0" distL="0" distR="0">
          <wp:extent cx="942975" cy="1035425"/>
          <wp:effectExtent l="0" t="0" r="0" b="0"/>
          <wp:docPr id="1073741825" name="officeArt object" descr="C:\Users\spalding\Desktop\children-holding-up-world-glob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:\Users\spalding\Desktop\children-holding-up-world-globe.jpg" descr="C:\Users\spalding\Desktop\children-holding-up-world-globe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1035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tl w:val="0"/>
      </w:rPr>
      <w:t xml:space="preserve">    Dr. Spalding</w:t>
    </w:r>
    <w:r>
      <w:rPr>
        <w:rtl w:val="0"/>
      </w:rPr>
      <w:t>’</w:t>
    </w:r>
    <w:r>
      <w:rPr>
        <w:rtl w:val="0"/>
      </w:rPr>
      <w:t xml:space="preserve">s </w:t>
    </w:r>
    <w:r>
      <w:rPr>
        <w:sz w:val="36"/>
        <w:szCs w:val="36"/>
        <w:rtl w:val="0"/>
        <w:lang w:val="en-US"/>
      </w:rPr>
      <w:t xml:space="preserve">SSE 3312 Homework Sheet </w:t>
    </w:r>
  </w:p>
  <w:p>
    <w:pPr>
      <w:pStyle w:val="header"/>
      <w:tabs>
        <w:tab w:val="right" w:pos="9340"/>
        <w:tab w:val="clear" w:pos="9360"/>
      </w:tabs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0"/>
      <w:keepLines w:val="0"/>
      <w:pageBreakBefore w:val="0"/>
      <w:widowControl w:val="1"/>
      <w:pBdr>
        <w:top w:val="nil"/>
        <w:left w:val="nil"/>
        <w:bottom w:val="single" w:color="9e8e5c" w:sz="8" w:space="0" w:shadow="0" w:frame="0"/>
        <w:right w:val="nil"/>
      </w:pBdr>
      <w:shd w:val="clear" w:color="auto" w:fill="auto"/>
      <w:suppressAutoHyphens w:val="0"/>
      <w:bidi w:val="0"/>
      <w:spacing w:before="0" w:after="300" w:line="240" w:lineRule="auto"/>
      <w:ind w:left="0" w:right="0" w:firstLine="0"/>
      <w:jc w:val="left"/>
      <w:outlineLvl w:val="9"/>
    </w:pPr>
    <w:rPr>
      <w:rFonts w:ascii="Garamond" w:cs="Arial Unicode MS" w:hAnsi="Garamon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9231f"/>
      <w:spacing w:val="5"/>
      <w:kern w:val="28"/>
      <w:position w:val="0"/>
      <w:sz w:val="52"/>
      <w:szCs w:val="52"/>
      <w:u w:val="none" w:color="29231f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Garamond" w:cs="Arial Unicode MS" w:hAnsi="Garamon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aramond" w:cs="Garamond" w:hAnsi="Garamond" w:eastAsia="Garamond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80"/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Garamond" w:cs="Arial Unicode MS" w:hAnsi="Garamon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Garamond" w:cs="Arial Unicode MS" w:hAnsi="Garamon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color w:val="b6a272"/>
      <w:u w:val="single" w:color="b6a272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gif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Couture">
  <a:themeElements>
    <a:clrScheme name="Coutur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0000FF"/>
      </a:hlink>
      <a:folHlink>
        <a:srgbClr val="FF00FF"/>
      </a:folHlink>
    </a:clrScheme>
    <a:fontScheme name="Couture">
      <a:majorFont>
        <a:latin typeface="Garamond"/>
        <a:ea typeface="Garamond"/>
        <a:cs typeface="Garamond"/>
      </a:majorFont>
      <a:minorFont>
        <a:latin typeface="Helvetica Neue"/>
        <a:ea typeface="Helvetica Neue"/>
        <a:cs typeface="Helvetica Neue"/>
      </a:minorFont>
    </a:fontScheme>
    <a:fmtScheme name="Coutur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0795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Garamon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0795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Garamon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